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215</w:t>
      </w:r>
    </w:p>
    <w:p>
      <w:r>
        <w:t>Bundesgericht (BGE), 1998-03-26, DE</w:t>
      </w:r>
    </w:p>
    <w:p>
      <w:r>
        <w:rPr>
          <w:b/>
        </w:rPr>
        <w:t xml:space="preserve">Quelle: </w:t>
      </w:r>
      <w:r>
        <w:t>https://mcp.opencaselaw.ch/entscheid/bge_124 II 215</w:t>
      </w:r>
    </w:p>
    <w:p>
      <w:r>
        <w:t>FR: ATF 124 II 215</w:t>
      </w:r>
    </w:p>
    <w:p>
      <w:r>
        <w:t>IT: DTF 124 II 215</w:t>
      </w:r>
    </w:p>
    <w:p>
      <w:pPr>
        <w:pStyle w:val="Heading2"/>
      </w:pPr>
      <w:r>
        <w:t>Regeste</w:t>
      </w:r>
    </w:p>
    <w:p>
      <w:r>
        <w:t>Regeste Eröffnung eines kombinierten eisenbahnrechtlichen Plangenehmigungs- und Enteignungsverfahrens; Anfechtbarkeit. Einwendungen gegen die Enteignung, die im enteignungsrechtlichen Einspracheverfahren bzw. während der Planauflage im kombinierten eisenbahnrechtlichen Plangenehmigungs- und Enteignungsverfahren erhoben werden können, sind in diesem hiefür bestimmten Verfahren und nicht schon im Anschluss an die Eröffnung des Enteignungsverfahrens vorzubringen.</w:t>
      </w:r>
    </w:p>
    <w:p>
      <w:pPr>
        <w:pStyle w:val="Heading2"/>
      </w:pPr>
      <w:r>
        <w:t>Erwägungen</w:t>
      </w:r>
    </w:p>
    <w:p>
      <w:r>
        <w:rPr>
          <w:b/>
        </w:rPr>
        <w:t>E. 1</w:t>
      </w:r>
    </w:p>
    <w:p>
      <w:r>
        <w:t>Am 16. Februar 1998 stellten die Schweizerischen Bundesbahnen, vertreten durch die AlpTransit, Altdorf, bei der Präsidentin der Eidgenössischen Schätzungskommission, Kreis 9, das Gesuch um Eröffnung eines kombinierten eisenbahnrechtlichen Plangenehmigungs- und Enteignungsverfahrens für den Bau der Gotthard-Basislinie, Teilabschnitt Erstfeld. Die Schätzungskommissions-Präsidentin gab diesem Begehren am 23. Februar 1998 statt. Sie erklärte in ihrer Verfügung das Verfahren für eröffnet und forderte die Gemeinden Erstfeld, Silenen, Gurtnellen und Schattdorf sowie den Kanton Uri auf, die Pläne und Verzeichnisse während dreissig Tagen öffentlich aufzulegen und ihr nach Ablauf der Einsprachefrist die eingegangenen Einsprachen zu übermitteln. Gegen die Verfügung der Präsidentin der Schätzungskommission haben sowohl Z. als auch G., beide wohnhaft in Erstfeld, mit getrennten Eingaben Verwaltungsgerichtsbeschwerde erhoben. Die beiden Beschwerden können - wie sich im folgenden zeigt - gemeinsam behandelt werden.</w:t>
      </w:r>
    </w:p>
    <w:p>
      <w:r>
        <w:rPr>
          <w:b/>
        </w:rPr>
        <w:t>E. 2</w:t>
      </w:r>
    </w:p>
    <w:p>
      <w:r>
        <w:t>Entscheide der Präsidenten der Eidgenössischen Schätzungskommissionen über Gesuche um Eröffnung eines Enteignungsverfahrens unterstehen der Verwaltungsgerichtsbarkeit, falls sie einen nicht wieder gutzumachenden Nachteil bewirken können ( Art. 97 OG in Verbindung mit Art. 5 und 45 VwVG ). Diese Voraussetzung wird anders als im staatsrechtlichen Verfahren schon dann als erfüllt betrachtet, wenn der Beschwerdeführer ein schutzwürdiges Interesse an der sofortigen Aufhebung oder Abänderung der Verfügung hat ( BGE 112 Ib 417 E. 2c). Ein solches Interesse kann jedoch nur insoweit bejaht werden, als der Beschwerdeführer Einwendungen erhebt, die sich auf die Eröffnungsverfügung selbst und die darin geregelten Belange beziehen und später nicht mehr vorgebracht werden können. Werden dagegen Rügen gegen die Enteignung selbst vorgebracht, wofür - wie im folgenden dargelegt - den Enteigneten noch ein besonderer Rechtsweg offensteht, so erweisen sich die Beschwerden gegen die Verfahrenseröffnung als verfrüht bzw. unzulässig, da insofern die Eröffnungsverfügung mit keinem nicht wieder gutzumachenden Nachteil verbunden sein kann (vgl. sinngemäss BGE 108 Ib 376 ).</w:t>
      </w:r>
    </w:p>
    <w:p>
      <w:r>
        <w:rPr>
          <w:b/>
        </w:rPr>
        <w:t>E. 3</w:t>
      </w:r>
    </w:p>
    <w:p>
      <w:r>
        <w:t>Gemäss den Bestimmungen von Art. 30 Abs. 1 lit. a und b sowie Art. 35 des Bundesgesetzes über die Enteignung (EntG; SR 711), welche im kombinierten eisenbahnrechtlichen Plangenehmigungs- BGE 124 II 215 S. 217 und Enteignungsverfahren anwendbar sind (vgl. Art. 12 Abs. 1 des Bundesbeschlusses über den Bau der schweizerischen Eisenbahn-Alpentransversale vom 4. Oktober 1991 [SR 742.104] in Verbindung mit Art. 14 Abs. 1 des Bundesbeschlusses über das Plangenehmigungsverfahren für Eisenbahn-Grossprojekte vom 21. Juni 1991 [SR 742.100.1]), können innert der Frist der öffentlichen Auflage Einsprache gegen die Enteignung erhoben und Planänderungsgesuche sowie Begehren nach den Artikeln 7-10 EntG angemeldet werden. Nach der Rechtsprechung hat mithin der Enteignete im Einspracheverfahren auch die Möglichkeit, das Vorliegen der formellrechtlichen Bedingungen für eine Enteignung zu bestreiten, wie materiellrechtlich geltend zu machen, die in Art. 1 EntG umschriebenen Voraussetzungen zur Ausübung des Enteignungsrechtes seien nicht gegeben (vgl. BGE 109 Ib 130 E. 2a; BGE 108 Ib 376 E. 2, mit Hinweisen). Ebenso kann eingewendet werden, es mangle an der für das projektierte Werk erforderlichen spezialgesetzlichen Genehmigung (vgl. BGE 114 Ib 142 E. 3a, mit Hinweisen, und sinngemäss BGE 115 Ib 424 E. 6b S. 438). Können diese Argumente aber im enteignungsrechtlichen Einspracheverfahren vorgebracht werden, so sind sie - soweit nicht geradezu ein Nichtigkeitsgrund angerufen wird - bei der Verfahrenseröffnung ausgeschlossen. Die Schätzungskommission wäre denn auch zur Beurteilung von Einwendungen gegen die Enteignung gar nicht zuständig. Wohl hat der Präsident einer Eidgenössischen Schätzungskommission vor Einleitung der Enteignung summarisch zu prüfen, ob die gesetzlichen Voraussetzungen gegeben seien. Diese Prüfung beschränkt sich jedoch im wesentlichen darauf, ob der Gesuchsteller überhaupt mit dem Enteignungsrecht ausgestattet sei oder noch ausgestattet werden könne und ob die Unterlagen den gesetzlichen Anforderungen genügten (vgl. BGE 109 Ib 130 E. 2b; BGE 115 Ib 13 E. 3; s.a. BGE 104 Ib 337 E. 3d). Dagegen ist es dem Schätzungskommissions-Präsidenten zum Beispiel verwehrt, bei der Prüfung eines Begehrens um Eröffnung des Enteignungsverfahrens darüber zu befinden, ob der Gesuchsteller unter den verschiedenen möglichen Arten des Landerwerbs richtig gewählt habe, insbesondere ob er der vom Gesetzgeber aufgestellten Rangfolge - der Bevorzugung des freihändigen Landerwerbs vor der Landumlegung und schliesslich der Enteignung (vgl. Art. 3 Abs. 2 des Eisenbahngesetzes vom 20. Dezember 1957 [SR 742.101]) - genügend Beachtung geschenkt habe. Der Entscheid über diese Frage wie über die BGE 124 II 215 S. 218 weiteren Einwände gegen die Enteignung ist der Einsprachebehörde vorbehalten ( BGE 116 Ib 241 E. 3a S. 246 mit zahlreichen Hinweisen; s.a. BGE 104 Ib 79 E. 1c und BGE 105 Ib 94 E. 5a).</w:t>
      </w:r>
    </w:p>
    <w:p>
      <w:r>
        <w:rPr>
          <w:b/>
        </w:rPr>
        <w:t>E. 4</w:t>
      </w:r>
    </w:p>
    <w:p>
      <w:r>
        <w:t>Die Beschwerdeführer machen nicht geltend, dass die SBB nicht über das Enteignungsrecht verfügten oder ein zur Enteignung erforderliches Vorverfahren nicht durchgeführt worden sei. Sie wenden auch nichts gegen die Ansetzung der dreissigtägigen Auflagefrist ein (vgl. Art. 30 Abs. 2 EntG ). Z. verlangt vielmehr eine Verlegung der geplanten Stromleitung und stellt damit ein Planänderungsbegehren, während G. bemerkt, er sei mit einem Landabtausch einverstanden, weshalb sich eine Enteignung erübrige. Planänderungsbegehren und Einwendungen gegen die Art des Landerwerbs sind jedoch wie geschildert im Einspracheverfahren anzubringen und im vorliegenden Verfahren ausgeschlossen. Auf die beiden Beschwerden kann daher nicht eingetreten werden.</w:t>
      </w:r>
    </w:p>
    <w:p>
      <w:r>
        <w:rPr>
          <w:b/>
        </w:rPr>
        <w:t>E. 5</w:t>
      </w:r>
    </w:p>
    <w:p>
      <w:r>
        <w:t>Abschliessend stellt sich die Frage, ob die beiden Beschwerden direkt als Einsprachen entgegenzunehmen seien. Dies abzuklären, ist Sache der Präsidentin der Eidgenössischen Schätzungskommission, Kreis 9, an die die eingereichten Rechtsschriften zu überweisen sind (vgl. Art. 32 Abs. 5 OG ; BGE 108 Ib 376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